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9359"/>
        <w:tblBorders>
          <w:top w:val="nil" w:color="FFFFFF" w:sz="0"/>
          <w:left w:val="nil" w:color="FFFFFF" w:sz="0"/>
          <w:bottom w:val="nil" w:color="FFFFFF" w:sz="0"/>
          <w:right w:val="nil" w:color="FFFFFF" w:sz="0"/>
          <w:insideH w:val="nil" w:color="FFFFFF" w:sz="0"/>
          <w:insideV w:val="nil" w:color="FFFFFF" w:sz="0"/>
        </w:tblBorders>
        <w:tblLayout w:type="fixed"/>
      </w:tblPr>
      <w:tblGrid>
        <w:gridCol w:w="100"/>
        <w:gridCol w:w="100"/>
      </w:tblGrid>
      <w:tr>
        <w:trPr>
          <w:trHeight w:val="1296" w:hRule="atLeast"/>
        </w:trPr>
        <w:tc>
          <w:tcPr>
            <w:tcW w:type="dxa" w:w="2808"/>
            <w:tcBorders>
              <w:top w:val="nil" w:color="FFFFFF" w:sz="0"/>
              <w:left w:val="nil" w:color="FFFFFF" w:sz="0"/>
              <w:bottom w:val="nil" w:color="FFFFFF" w:sz="0"/>
              <w:right w:val="nil" w:color="FFFFFF" w:sz="0"/>
            </w:tcBorders>
            <w:vAlign w:val="center"/>
          </w:tcPr>
          <w:p>
            <w:pPr>
              <w:spacing w:after="0" w:before="0"/>
              <w:jc w:val="left"/>
            </w:pPr>
            <w:r>
              <w:drawing>
                <wp:inline distT="0" distB="0" distL="0" distR="0">
                  <wp:extent cx="514350" cy="5143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before="40"/>
              <w:jc w:val="left"/>
            </w:pPr>
            <w:r>
              <w:rPr>
                <w:rFonts w:ascii="Calibri" w:cs="Calibri" w:eastAsia="Calibri" w:hAnsi="Calibri"/>
                <w:color w:val="808080"/>
                <w:sz w:val="18"/>
                <w:szCs w:val="18"/>
              </w:rPr>
              <w:t xml:space="preserve">crowdhum.com</w:t>
            </w:r>
          </w:p>
        </w:tc>
        <w:tc>
          <w:tcPr>
            <w:tcW w:type="dxa" w:w="6551"/>
            <w:tcBorders>
              <w:top w:val="nil" w:color="FFFFFF" w:sz="0"/>
              <w:left w:val="nil" w:color="FFFFFF" w:sz="0"/>
              <w:bottom w:val="nil" w:color="FFFFFF" w:sz="0"/>
              <w:right w:val="nil" w:color="FFFFFF" w:sz="0"/>
            </w:tcBorders>
            <w:vAlign w:val="center"/>
          </w:tcPr>
          <w:p>
            <w:pPr>
              <w:spacing w:after="40" w:before="0"/>
            </w:pPr>
            <w:r>
              <w:rPr>
                <w:rFonts w:ascii="Calibri" w:cs="Calibri" w:eastAsia="Calibri" w:hAnsi="Calibri"/>
                <w:b/>
                <w:bCs/>
                <w:color w:val="009477"/>
                <w:sz w:val="20"/>
                <w:szCs w:val="20"/>
              </w:rPr>
              <w:t xml:space="preserve">CrowdHum · CrowdHum</w:t>
            </w:r>
          </w:p>
          <w:p>
            <w:pPr>
              <w:spacing w:after="80" w:before="0"/>
            </w:pPr>
            <w:r>
              <w:rPr>
                <w:rFonts w:ascii="Calibri" w:cs="Calibri" w:eastAsia="Calibri" w:hAnsi="Calibri"/>
                <w:b/>
                <w:bCs/>
                <w:color w:val="1A1A2E"/>
                <w:sz w:val="44"/>
                <w:szCs w:val="44"/>
              </w:rPr>
              <w:t xml:space="preserve">Leadership Cohort — Mid-program Check-in</w:t>
            </w:r>
          </w:p>
          <w:p>
            <w:pPr>
              <w:spacing w:after="0" w:before="0"/>
            </w:pPr>
            <w:r>
              <w:rPr>
                <w:rFonts w:ascii="Calibri" w:cs="Calibri" w:eastAsia="Calibri" w:hAnsi="Calibri"/>
                <w:color w:val="6B6B80"/>
                <w:sz w:val="20"/>
                <w:szCs w:val="20"/>
              </w:rPr>
              <w:t xml:space="preserve">Session recap · April 15, 2026 · 24 participants · 5 polls</w:t>
            </w:r>
          </w:p>
        </w:tc>
      </w:tr>
    </w:tbl>
    <w:p>
      <w:pPr>
        <w:spacing w:after="160"/>
      </w:pPr>
      <w:r>
        <w:rPr>
          <w:rFonts w:ascii="Calibri" w:cs="Calibri" w:eastAsia="Calibri" w:hAnsi="Calibri"/>
          <w:sz w:val="22"/>
          <w:szCs w:val="22"/>
        </w:rPr>
        <w:t xml:space="preserve"> </w:t>
      </w:r>
    </w:p>
    <w:p>
      <w:pPr>
        <w:spacing w:after="120" w:before="320"/>
      </w:pPr>
      <w:r>
        <w:rPr>
          <w:rFonts w:ascii="Calibri" w:cs="Calibri" w:eastAsia="Calibri" w:hAnsi="Calibri"/>
          <w:b/>
          <w:bCs/>
          <w:color w:val="00D4AA"/>
          <w:sz w:val="36"/>
          <w:szCs w:val="36"/>
        </w:rPr>
        <w:t xml:space="preserve">1. Session overview</w:t>
      </w:r>
    </w:p>
    <w:p>
      <w:pPr>
        <w:spacing w:after="180" w:before="0"/>
      </w:pPr>
      <w:r>
        <w:rPr>
          <w:rFonts w:ascii="Calibri" w:cs="Calibri" w:eastAsia="Calibri" w:hAnsi="Calibri"/>
          <w:i/>
          <w:iCs/>
          <w:color w:val="00D4AA"/>
          <w:sz w:val="28"/>
          <w:szCs w:val="28"/>
        </w:rPr>
        <w:t xml:space="preserve">Replace the next module with paired rehearsal of underperformer and manager‑boundary conversations.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Replace the next module’s content with paired rehearsal of two real conversations — an underperformer on my team and role boundaries with my manager — and open by validating permission to act. Avoidance clusters there (24% and 19%), while the biggest execution gap is waiting for permission at 39% (17pp over skill and capacity, both 22%), so confidence will come from doing. The cohort asked for practice first — peer rehearsal leads support at 33% (8pp over coaching at 25%) — and the mood is stretched/questioning (46%), which argues for reps and explicit agency over more theory. Pair participants this week, run one real conversation before the next session, and make progress visible with a quick debrief and a simple decision‑rights one‑pager shared by the facilitator.</w:t>
      </w:r>
    </w:p>
    <w:p>
      <w:pPr>
        <w:spacing w:after="120" w:before="320"/>
      </w:pPr>
      <w:r>
        <w:rPr>
          <w:rFonts w:ascii="Calibri" w:cs="Calibri" w:eastAsia="Calibri" w:hAnsi="Calibri"/>
          <w:b/>
          <w:bCs/>
          <w:color w:val="00D4AA"/>
          <w:sz w:val="36"/>
          <w:szCs w:val="36"/>
        </w:rPr>
        <w:t xml:space="preserve">2. What the room voted on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/>
          <w:iCs/>
          <w:color w:val="1A1A2E"/>
          <w:sz w:val="22"/>
          <w:szCs w:val="22"/>
        </w:rPr>
        <w:t xml:space="preserve">Each poll is reported with its facilitator-framed question, the leading response, and the spread across the next responses. Percentages reflect share of votes cast on that poll only.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1. Two-cluster split — strain words dominate 46% ('stretched' 25%, 'questioning' 21%) — normalize the load and pair people.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0"/>
        <w:jc w:val="center"/>
      </w:pPr>
      <w:r>
        <w:rPr>
          <w:rFonts w:ascii="Calibri" w:cs="Calibri" w:eastAsia="Calibri" w:hAnsi="Calibri"/>
          <w:i/>
          <w:iCs/>
          <w:color w:val="6B6B80"/>
          <w:sz w:val="18"/>
          <w:szCs w:val="18"/>
        </w:rPr>
        <w:t xml:space="preserve">Poll 1: 24 votes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Emotional temperature skews strained, not defeated: 'stretched' (25%) and 'questioning' (21%) outweigh 'growing' (17%). 'Tired' (13%) and 'isolated' (8%) add an energy and connection gap. This tilt pairs with the later support ask for practice over theory, suggesting people want real help, not more models. Treat as: validate the strain and mirror the growth; pair for near-term support. Validate the two-cluster mood out loud, then pair participants for mutual support during the next 4 weeks.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2. Near-tie at the top (29% vs 25%) — boundaries and direct feedback are moving; keep reps, not models.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0"/>
        <w:jc w:val="center"/>
      </w:pPr>
      <w:r>
        <w:rPr>
          <w:rFonts w:ascii="Calibri" w:cs="Calibri" w:eastAsia="Calibri" w:hAnsi="Calibri"/>
          <w:i/>
          <w:iCs/>
          <w:color w:val="6B6B80"/>
          <w:sz w:val="18"/>
          <w:szCs w:val="18"/>
        </w:rPr>
        <w:t xml:space="preserve">Poll 2: 24 votes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Practice is shifting where it matters: 'Holding boundaries with my own time' leads at 29% with 'Giving direct feedback' close at 25% (4pp gap). Gains are emerging across self and team, yet 'Saying no upward' sits at 4%, a small but strategic gap that echoes later permission signals. Treat as: rehearse upward boundaries and direct feedback in pairs. Pair participants this week to script and rehearse a 90‑second 'no upward' and one direct-feedback open.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3. Closely contested avoidance: 'underperformer' (24%) edges 'role boundaries with my manager' (19%) — pick one and rehearse live.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0"/>
        <w:jc w:val="center"/>
      </w:pPr>
      <w:r>
        <w:rPr>
          <w:rFonts w:ascii="Calibri" w:cs="Calibri" w:eastAsia="Calibri" w:hAnsi="Calibri"/>
          <w:i/>
          <w:iCs/>
          <w:color w:val="6B6B80"/>
          <w:sz w:val="18"/>
          <w:szCs w:val="18"/>
        </w:rPr>
        <w:t xml:space="preserve">Poll 3: 21 votes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Avoided conversations cluster in two places: managing underperformance (24%) and upward role boundaries (19%), with peer politics (14%) and self‑advocacy (14%) close behind. The spread (head 3 combined 57%) says avoidance isn’t about one script; it’s about permission plus reps. Treat as: mirror the two hotspots and run paired rehearsals on one of them now. Name 'underperformer' and 'role boundaries with my manager' as today’s practice lanes; invite each person to choose one and rehearse.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4. Clear preference at 39%: 'I keep waiting for permission' — program should validate agency and script first steps.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0"/>
        <w:jc w:val="center"/>
      </w:pPr>
      <w:r>
        <w:rPr>
          <w:rFonts w:ascii="Calibri" w:cs="Calibri" w:eastAsia="Calibri" w:hAnsi="Calibri"/>
          <w:i/>
          <w:iCs/>
          <w:color w:val="6B6B80"/>
          <w:sz w:val="18"/>
          <w:szCs w:val="18"/>
        </w:rPr>
        <w:t xml:space="preserve">Poll 4: 23 votes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Permission is the primary gap at 39% (17pp over skill and capacity, both 22%), not knowledge. A further 13% don’t yet trust their judgment, which rhymes with the minority ask for explicit permission later on. This isn’t a content problem; it’s an action‑under‑authority problem. Treat as: validate agency explicitly and rehearse permission‑light moves. Mirror the permission gap explicitly and run a short 'permission you already have' exercise before any new content.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5. Moderate lead for peer rehearsal at 33% (8pp over coaching) — the room wants reps before more models.</w:t>
      </w:r>
    </w:p>
    <w:p>
      <w:pPr>
        <w:spacing w:after="40" w:before="80"/>
        <w:jc w:val="center"/>
      </w:pPr>
      <w:r>
        <w:drawing>
          <wp:inline distT="0" distB="0" distL="0" distR="0">
            <wp:extent cx="5715000" cy="32194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0"/>
        <w:jc w:val="center"/>
      </w:pPr>
      <w:r>
        <w:rPr>
          <w:rFonts w:ascii="Calibri" w:cs="Calibri" w:eastAsia="Calibri" w:hAnsi="Calibri"/>
          <w:i/>
          <w:iCs/>
          <w:color w:val="6B6B80"/>
          <w:sz w:val="18"/>
          <w:szCs w:val="18"/>
        </w:rPr>
        <w:t xml:space="preserve">Poll 5: 24 votes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Practice support tops content: 'A peer to rehearse a hard conversation with' leads at 33% (8pp over a focused coaching session at 25%). 'A clearer model for my own decision‑rights' at 21% and 'A structured way to say no to my manager' at 13% translate the permission theme into tools. Only 8% asked for 'Permission from this room to act,' reinforcing that confidence grows through doing. Treat as: fund paired rehearsal and time‑boxed coaching slots. Pair participants for immediate rehearsal and offer short coaching office hours; include a one‑pager on decision‑rights and a 'saying no upward' script.</w:t>
      </w:r>
    </w:p>
    <w:p>
      <w:pPr>
        <w:spacing w:after="120" w:before="320"/>
      </w:pPr>
      <w:r>
        <w:rPr>
          <w:rFonts w:ascii="Calibri" w:cs="Calibri" w:eastAsia="Calibri" w:hAnsi="Calibri"/>
          <w:b/>
          <w:bCs/>
          <w:color w:val="00D4AA"/>
          <w:sz w:val="36"/>
          <w:szCs w:val="36"/>
        </w:rPr>
        <w:t xml:space="preserve">3. Where the room aligned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These cross-poll patterns are the clearest signals to act on.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Avoided conversations map directly to the top support ask (high confidence). Performance and upward-boundary talks are the hardest and the room wants peer practice, not more content.. So what: Pair participants now and schedule two rehearsal blocks before the next session. Evidence: underperformer on my team — 24% (5/21); role boundaries with my manager — 19% (4/21); A peer to rehearse a hard conversation with — 33% (8/24).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Permission gap explains demand for decision-rights and 'saying no' tools (high confidence). Stalling on action stems from authority ambiguity more than missing know-how.. So what: Introduce a one‑page decision‑rights model and rehearse a 'no upward' script in pairs. Evidence: I know what to do — I keep waiting for permission — 39% (9/23); A clearer model for my own decision-rights — 21% (5/24); A structured way to say no to my manager — 13% (3/24).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Strained mood increases the return on peer connection (medium confidence). Feeling stretched/questioning and some isolation make peer rehearsal a support as well as a skill builder.. So what: Set up fixed peer pairings and a weekly 15‑minute check‑in cadence. Evidence: stretched — 25% (6/24) and questioning — 21% (5/24); isolated — 8% (2/24); A peer to rehearse a hard conversation with — 33% (8/24).</w:t>
      </w:r>
    </w:p>
    <w:p>
      <w:pPr>
        <w:spacing w:after="120" w:before="320"/>
      </w:pPr>
      <w:r>
        <w:rPr>
          <w:rFonts w:ascii="Calibri" w:cs="Calibri" w:eastAsia="Calibri" w:hAnsi="Calibri"/>
          <w:b/>
          <w:bCs/>
          <w:color w:val="00D4AA"/>
          <w:sz w:val="36"/>
          <w:szCs w:val="36"/>
        </w:rPr>
        <w:t xml:space="preserve">4. Where the room split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1A1A2E"/>
          <w:sz w:val="22"/>
          <w:szCs w:val="22"/>
        </w:rPr>
        <w:t xml:space="preserve">Execution confidence vs. Strained energy vs.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Execution confidence vs. permission barriers: People know what to do but stall without felt authority; until this is handled, skill gains won’t translate into action. (high confidence). How to frame it: Mirror the permission signal and invite each participant to claim one action they already have authority to take; then rehearse 'saying no upward' in pairs. Evidence: I know what to do — I keep waiting for permission — 39% (9/23); A clearer model for my own decision-rights — 21% (5/24); A structured way to say no to my manager — 13% (3/24).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Strained energy vs. improving practice: Energy is low while skills are moving; without peer support, strain can blunt the gains. (medium confidence). How to frame it: Validate 'stretched' out loud, then convert improvements into quick wins by pairing people to run one real conversation this week. Evidence: stretched — 25% (6/24) and questioning — 21% (5/24); Holding boundaries with my own time — 29% (7/24); Giving direct feedback — 25% (6/24).</w:t>
      </w:r>
    </w:p>
    <w:p>
      <w:pPr>
        <w:spacing w:after="120" w:before="320"/>
      </w:pPr>
      <w:r>
        <w:rPr>
          <w:rFonts w:ascii="Calibri" w:cs="Calibri" w:eastAsia="Calibri" w:hAnsi="Calibri"/>
          <w:b/>
          <w:bCs/>
          <w:color w:val="00D4AA"/>
          <w:sz w:val="36"/>
          <w:szCs w:val="36"/>
        </w:rPr>
        <w:t xml:space="preserve">5. Next steps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5.1  Suggested directions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/>
          <w:iCs/>
          <w:color w:val="1A1A2E"/>
          <w:sz w:val="22"/>
          <w:szCs w:val="22"/>
        </w:rPr>
        <w:t xml:space="preserve">Based on the room's input, the team might consider: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Which hard conversation will you commit to run before the next session?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Open the next session by mirroring 'stretched'/'questioning' back to the room and inviting one specific permission each person will claim this week; debrief in 10 minutes.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Create peer triads today for weekly 15‑minute check‑ins; have each triad log one action taken between sessions.</w:t>
      </w:r>
    </w:p>
    <w:p>
      <w:pPr>
        <w:spacing w:after="80"/>
        <w:ind w:left="360" w:hanging="220"/>
      </w:pPr>
      <w:r>
        <w:rPr>
          <w:rFonts w:ascii="Calibri" w:cs="Calibri" w:eastAsia="Calibri" w:hAnsi="Calibri"/>
          <w:color w:val="1A1A2E"/>
          <w:sz w:val="22"/>
          <w:szCs w:val="22"/>
        </w:rPr>
        <w:t xml:space="preserve">•  </w:t>
      </w:r>
      <w:r>
        <w:rPr>
          <w:rFonts w:ascii="Calibri" w:cs="Calibri" w:eastAsia="Calibri" w:hAnsi="Calibri"/>
          <w:color w:val="1A1A2E"/>
          <w:sz w:val="22"/>
          <w:szCs w:val="22"/>
        </w:rPr>
        <w:t xml:space="preserve">Assign partners now; each writes a two‑line 'no upward' boundary and a 20‑second feedback opener, rehearses twice, and runs one real conversation before next session; debrief next time.</w:t>
      </w:r>
    </w:p>
    <w:p>
      <w:pPr>
        <w:spacing w:after="40" w:before="200"/>
      </w:pPr>
      <w:r>
        <w:rPr>
          <w:rFonts w:ascii="Calibri" w:cs="Calibri" w:eastAsia="Calibri" w:hAnsi="Calibri"/>
          <w:b/>
          <w:bCs/>
          <w:color w:val="009477"/>
          <w:sz w:val="24"/>
          <w:szCs w:val="24"/>
        </w:rPr>
        <w:t xml:space="preserve">5.2  Specific commitments from the room</w:t>
      </w:r>
    </w:p>
    <w:p>
      <w:pPr>
        <w:spacing w:after="160"/>
      </w:pPr>
      <w:r>
        <w:rPr>
          <w:rFonts w:ascii="Calibri" w:cs="Calibri" w:eastAsia="Calibri" w:hAnsi="Calibri"/>
          <w:b w:val="false"/>
          <w:bCs w:val="false"/>
          <w:i/>
          <w:iCs/>
          <w:color w:val="1A1A2E"/>
          <w:sz w:val="22"/>
          <w:szCs w:val="22"/>
        </w:rPr>
        <w:t xml:space="preserve">Use this space to record what your team agreed to in the room — owners, dates, and follow-ups CrowdHum couldn't see.</w:t>
      </w:r>
    </w:p>
    <w:p>
      <w:pPr>
        <w:spacing w:after="280"/>
      </w:pPr>
      <w:r>
        <w:rPr>
          <w:rFonts w:ascii="Calibri" w:cs="Calibri" w:eastAsia="Calibri" w:hAnsi="Calibri"/>
          <w:sz w:val="22"/>
          <w:szCs w:val="22"/>
        </w:rPr>
        <w:t xml:space="preserve"> </w:t>
      </w:r>
    </w:p>
    <w:p>
      <w:pPr>
        <w:spacing w:after="280"/>
      </w:pPr>
      <w:r>
        <w:rPr>
          <w:rFonts w:ascii="Calibri" w:cs="Calibri" w:eastAsia="Calibri" w:hAnsi="Calibri"/>
          <w:sz w:val="22"/>
          <w:szCs w:val="22"/>
        </w:rPr>
        <w:t xml:space="preserve"> </w:t>
      </w:r>
    </w:p>
    <w:p>
      <w:pPr>
        <w:spacing w:after="280"/>
      </w:pPr>
      <w:r>
        <w:rPr>
          <w:rFonts w:ascii="Calibri" w:cs="Calibri" w:eastAsia="Calibri" w:hAnsi="Calibri"/>
          <w:sz w:val="22"/>
          <w:szCs w:val="22"/>
        </w:rPr>
        <w:t xml:space="preserve"> </w:t>
      </w:r>
    </w:p>
    <w:sectPr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after="0" w:before="0"/>
      <w:jc w:val="center"/>
    </w:pPr>
    <w:r>
      <w:rPr>
        <w:rFonts w:ascii="Calibri" w:cs="Calibri" w:eastAsia="Calibri" w:hAnsi="Calibri"/>
        <w:color w:val="808080"/>
        <w:sz w:val="18"/>
        <w:szCs w:val="18"/>
      </w:rPr>
      <w:t xml:space="preserve">Prepared by CrowdHum  April 2026</w:t>
    </w:r>
  </w:p>
  <w:p>
    <w:pPr>
      <w:spacing w:after="0" w:before="0"/>
      <w:jc w:val="center"/>
    </w:pPr>
    <w:r>
      <w:rPr>
        <w:rFonts w:ascii="Calibri" w:cs="Calibri" w:eastAsia="Calibri" w:hAnsi="Calibri"/>
        <w:color w:val="808080"/>
        <w:sz w:val="18"/>
        <w:szCs w:val="18"/>
      </w:rPr>
      <w:t xml:space="preserve">Page </w:t>
    </w:r>
    <w:r>
      <w:rPr>
        <w:rFonts w:ascii="Calibri" w:cs="Calibri" w:eastAsia="Calibri" w:hAnsi="Calibri"/>
        <w:color w:val="808080"/>
        <w:sz w:val="18"/>
        <w:szCs w:val="18"/>
      </w:rPr>
      <w:fldChar w:fldCharType="begin"/>
      <w:instrText xml:space="preserve">PAGE</w:instrText>
      <w:fldChar w:fldCharType="separate"/>
      <w:fldChar w:fldCharType="end"/>
    </w:r>
  </w:p>
  <w:p>
    <w:pPr>
      <w:spacing w:after="0" w:before="0"/>
      <w:jc w:val="center"/>
    </w:pPr>
    <w:r>
      <w:rPr>
        <w:rFonts w:ascii="Calibri" w:cs="Calibri" w:eastAsia="Calibri" w:hAnsi="Calibri"/>
        <w:color w:val="808080"/>
        <w:sz w:val="18"/>
        <w:szCs w:val="18"/>
      </w:rPr>
      <w:t xml:space="preserve">Powered by CrowdHum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d7251ff2af424a26cbbf4a1bf08d7beaf4b027f4.png"/><Relationship Id="rId9" Type="http://schemas.openxmlformats.org/officeDocument/2006/relationships/image" Target="media/0ebe12429316df7be44c4d666485ec83b7af7b28.png"/><Relationship Id="rId10" Type="http://schemas.openxmlformats.org/officeDocument/2006/relationships/image" Target="media/b07417f458b2bba84cbce58be51aa866fa36da7f.png"/><Relationship Id="rId11" Type="http://schemas.openxmlformats.org/officeDocument/2006/relationships/image" Target="media/3e8ec6e552fde02769ed6a308bc8e098c1353f81.png"/><Relationship Id="rId12" Type="http://schemas.openxmlformats.org/officeDocument/2006/relationships/image" Target="media/97ebe4a1a7aa9002c3ab72c427777a9b40b36bbd.png"/><Relationship Id="rId13" Type="http://schemas.openxmlformats.org/officeDocument/2006/relationships/image" Target="media/f806505d41b3a3130cf47695ad65e174a650d574.png"/><Relationship Id="rId14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Leadership Cohort — Mid-program Check-in</dc:title>
  <dc:creator>CrowdHum</dc:creator>
  <dc:description>Client Brief</dc:description>
  <cp:lastModifiedBy>Un-named</cp:lastModifiedBy>
  <cp:revision>1</cp:revision>
  <dcterms:created xsi:type="dcterms:W3CDTF">2026-05-03T12:36:08.281Z</dcterms:created>
  <dcterms:modified xsi:type="dcterms:W3CDTF">2026-05-03T12:36:08.281Z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